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C8" w:rsidRPr="000B479A" w:rsidRDefault="00342CC8" w:rsidP="000B479A">
      <w:pPr>
        <w:shd w:val="clear" w:color="auto" w:fill="FDFDEF"/>
        <w:spacing w:before="150" w:after="195" w:line="240" w:lineRule="auto"/>
        <w:ind w:right="30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0B479A">
        <w:rPr>
          <w:rFonts w:ascii="Times New Roman" w:eastAsia="Times New Roman" w:hAnsi="Times New Roman" w:cs="Times New Roman"/>
          <w:b/>
          <w:bCs/>
          <w:color w:val="333333"/>
          <w:kern w:val="36"/>
        </w:rPr>
        <w:t>Письмо Минфина РФ от 12 февраля 2015 г. N 03-04-05/6179</w:t>
      </w:r>
    </w:p>
    <w:p w:rsidR="00342CC8" w:rsidRPr="000B479A" w:rsidRDefault="00342CC8" w:rsidP="000B479A">
      <w:pPr>
        <w:shd w:val="clear" w:color="auto" w:fill="FDFDE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b/>
          <w:bCs/>
          <w:color w:val="333333"/>
        </w:rPr>
        <w:t>Вопрос: О переносе пенсионером остатка имущественного вычета по НДФЛ при строительстве или покупке жилья, если декларация по НДФЛ представлена в 2015 г.</w:t>
      </w:r>
    </w:p>
    <w:p w:rsidR="00342CC8" w:rsidRPr="000B479A" w:rsidRDefault="00342CC8" w:rsidP="000B479A">
      <w:pPr>
        <w:spacing w:after="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666666"/>
        </w:rPr>
        <w:t>13.03.2015 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Ответ: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МИНИСТЕРСТВО ФИНАНСОВ РОССИЙСКОЙ ФЕДЕРАЦИИ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ПИСЬМО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от 12 февраля 2015 г. N 03-04-05/6179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 xml:space="preserve">Департамент налоговой и </w:t>
      </w:r>
      <w:proofErr w:type="spellStart"/>
      <w:r w:rsidRPr="000B479A">
        <w:rPr>
          <w:rFonts w:ascii="Times New Roman" w:eastAsia="Times New Roman" w:hAnsi="Times New Roman" w:cs="Times New Roman"/>
          <w:color w:val="333333"/>
        </w:rPr>
        <w:t>таможенно-тарифной</w:t>
      </w:r>
      <w:proofErr w:type="spellEnd"/>
      <w:r w:rsidRPr="000B479A">
        <w:rPr>
          <w:rFonts w:ascii="Times New Roman" w:eastAsia="Times New Roman" w:hAnsi="Times New Roman" w:cs="Times New Roman"/>
          <w:color w:val="333333"/>
        </w:rPr>
        <w:t xml:space="preserve"> политики рассмотрел обращение по вопросу получения остатка имущественного налогового вычета по налогу на доходы физических лиц и в соответствии со статьей 34.2 Налогового кодекса Российской Федерации (далее - Кодекс) разъясняет следующее.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proofErr w:type="gramStart"/>
      <w:r w:rsidRPr="000B479A">
        <w:rPr>
          <w:rFonts w:ascii="Times New Roman" w:eastAsia="Times New Roman" w:hAnsi="Times New Roman" w:cs="Times New Roman"/>
          <w:color w:val="333333"/>
        </w:rPr>
        <w:t xml:space="preserve">Согласно подпункту 2 пункта 1 статьи 220 Кодекса (в редакции, действовавшей до 1 января 2014 года) при определении размера налоговой базы по налогу на доходы физических лиц налогоплательщик имеет право на получение имущественного налогового вычета в размере фактически произведенных налогоплательщиком расходов, но не более 2 000 </w:t>
      </w:r>
      <w:proofErr w:type="spellStart"/>
      <w:r w:rsidRPr="000B479A">
        <w:rPr>
          <w:rFonts w:ascii="Times New Roman" w:eastAsia="Times New Roman" w:hAnsi="Times New Roman" w:cs="Times New Roman"/>
          <w:color w:val="333333"/>
        </w:rPr>
        <w:t>000</w:t>
      </w:r>
      <w:proofErr w:type="spellEnd"/>
      <w:r w:rsidRPr="000B479A">
        <w:rPr>
          <w:rFonts w:ascii="Times New Roman" w:eastAsia="Times New Roman" w:hAnsi="Times New Roman" w:cs="Times New Roman"/>
          <w:color w:val="333333"/>
        </w:rPr>
        <w:t xml:space="preserve"> рублей, в частности, на новое строительство либо приобретение на территории Российской Федерации квартиры</w:t>
      </w:r>
      <w:proofErr w:type="gramEnd"/>
      <w:r w:rsidRPr="000B479A">
        <w:rPr>
          <w:rFonts w:ascii="Times New Roman" w:eastAsia="Times New Roman" w:hAnsi="Times New Roman" w:cs="Times New Roman"/>
          <w:color w:val="333333"/>
        </w:rPr>
        <w:t>, комнаты или доли (долей) в них.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Имущественные налоговые вычеты, предусмотренные подпунктом 2 пункта 1 статьи 220 Кодекса, предоставляются за тот налоговый период, в котором возникло право на их получение, или в последующие налоговые периоды.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proofErr w:type="gramStart"/>
      <w:r w:rsidRPr="000B479A">
        <w:rPr>
          <w:rFonts w:ascii="Times New Roman" w:eastAsia="Times New Roman" w:hAnsi="Times New Roman" w:cs="Times New Roman"/>
          <w:color w:val="333333"/>
        </w:rPr>
        <w:t>В соответствии с абзацем двадцать девятым подпункта 2 пункта 1 статьи 220 Кодекса у налогоплательщиков, получающих пенсии в соответствии с законодательством Российской Федерации, в случае отсутствия у них доходов, облагаемых по налоговой ставке в размере 13 процентов, установленной пунктом 1 статьи 224 Кодекса, остаток имущественного налогового вычета может быть перенесен на предшествующие налоговые периоды, но не более трех.</w:t>
      </w:r>
      <w:proofErr w:type="gramEnd"/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Федеральным законом от 23.07.2013 N 212-ФЗ "О внесении изменений в статью 220 части второй Налогового кодекса Российской Федерации", вступившим в силу с 1 января 2014 года, внесены существенные изменения в статью 220 Кодекса, касающиеся, в частности, возможности переноса остатка имущественного налогового вычета на предшествующие налоговые периоды у налогоплательщиков-пенсионеров.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Так, пунктом 10 статьи 220 Кодекса в редакции указанного Федерального закона снято условие, в соответствии с которым налогоплательщики-пенсионеры вправе перенести остаток имущественного налогового вычета на предшествующие налоговые периоды только в случае отсутствия у них доходов, облагаемых по налоговой ставке 13 процентов.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 xml:space="preserve">При обращении налогоплательщика по окончании налогового периода за переносом остатка имущественного налогового вычета, образовавшегося в этом налоговом периоде, на предшествующие налоговые периоды трехгодичный срок для возврата излишне уплаченного налога </w:t>
      </w:r>
      <w:proofErr w:type="gramStart"/>
      <w:r w:rsidRPr="000B479A">
        <w:rPr>
          <w:rFonts w:ascii="Times New Roman" w:eastAsia="Times New Roman" w:hAnsi="Times New Roman" w:cs="Times New Roman"/>
          <w:color w:val="333333"/>
        </w:rPr>
        <w:t>отсчитывается</w:t>
      </w:r>
      <w:proofErr w:type="gramEnd"/>
      <w:r w:rsidRPr="000B479A">
        <w:rPr>
          <w:rFonts w:ascii="Times New Roman" w:eastAsia="Times New Roman" w:hAnsi="Times New Roman" w:cs="Times New Roman"/>
          <w:color w:val="333333"/>
        </w:rPr>
        <w:t xml:space="preserve"> начиная с налогового периода, непосредственно предшествующего налоговому периоду, в котором образовался переносимый остаток имущественного налогового вычета.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Поскольку при представлении налогоплательщиком налоговой декларации в 2015 году за 2014 год налоговым периодом, в котором образовался остаток имущественного налогового вычета, будет являться 2014 год, неиспользованный остаток имущественного налогового вычета может быть перенесен, в частности, на налоговый период 2011 года путем представления налоговой декларации за указанный год.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Заместитель директора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 xml:space="preserve">Департамента </w:t>
      </w:r>
      <w:proofErr w:type="gramStart"/>
      <w:r w:rsidRPr="000B479A">
        <w:rPr>
          <w:rFonts w:ascii="Times New Roman" w:eastAsia="Times New Roman" w:hAnsi="Times New Roman" w:cs="Times New Roman"/>
          <w:color w:val="333333"/>
        </w:rPr>
        <w:t>налоговой</w:t>
      </w:r>
      <w:proofErr w:type="gramEnd"/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 xml:space="preserve">и </w:t>
      </w:r>
      <w:proofErr w:type="spellStart"/>
      <w:r w:rsidRPr="000B479A">
        <w:rPr>
          <w:rFonts w:ascii="Times New Roman" w:eastAsia="Times New Roman" w:hAnsi="Times New Roman" w:cs="Times New Roman"/>
          <w:color w:val="333333"/>
        </w:rPr>
        <w:t>таможенно-тарифной</w:t>
      </w:r>
      <w:proofErr w:type="spellEnd"/>
      <w:r w:rsidRPr="000B479A">
        <w:rPr>
          <w:rFonts w:ascii="Times New Roman" w:eastAsia="Times New Roman" w:hAnsi="Times New Roman" w:cs="Times New Roman"/>
          <w:color w:val="333333"/>
        </w:rPr>
        <w:t xml:space="preserve"> политики</w:t>
      </w:r>
    </w:p>
    <w:p w:rsidR="00342CC8" w:rsidRPr="000B479A" w:rsidRDefault="00342CC8" w:rsidP="000B479A">
      <w:pPr>
        <w:shd w:val="clear" w:color="auto" w:fill="FDFDEF"/>
        <w:spacing w:before="120" w:after="120" w:line="255" w:lineRule="atLeast"/>
        <w:ind w:right="300"/>
        <w:rPr>
          <w:rFonts w:ascii="Times New Roman" w:eastAsia="Times New Roman" w:hAnsi="Times New Roman" w:cs="Times New Roman"/>
          <w:color w:val="333333"/>
        </w:rPr>
      </w:pPr>
      <w:r w:rsidRPr="000B479A">
        <w:rPr>
          <w:rFonts w:ascii="Times New Roman" w:eastAsia="Times New Roman" w:hAnsi="Times New Roman" w:cs="Times New Roman"/>
          <w:color w:val="333333"/>
        </w:rPr>
        <w:t>О.Ф.ЦИБИЗОВА</w:t>
      </w:r>
    </w:p>
    <w:p w:rsidR="00E412AE" w:rsidRPr="000B479A" w:rsidRDefault="00E412AE" w:rsidP="000B479A">
      <w:pPr>
        <w:rPr>
          <w:rFonts w:ascii="Times New Roman" w:hAnsi="Times New Roman" w:cs="Times New Roman"/>
        </w:rPr>
      </w:pPr>
    </w:p>
    <w:sectPr w:rsidR="00E412AE" w:rsidRPr="000B479A" w:rsidSect="000B479A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CC8"/>
    <w:rsid w:val="000B479A"/>
    <w:rsid w:val="00342CC8"/>
    <w:rsid w:val="006607F5"/>
    <w:rsid w:val="00E4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F5"/>
  </w:style>
  <w:style w:type="paragraph" w:styleId="1">
    <w:name w:val="heading 1"/>
    <w:basedOn w:val="a"/>
    <w:link w:val="10"/>
    <w:uiPriority w:val="9"/>
    <w:qFormat/>
    <w:rsid w:val="00342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C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42CC8"/>
    <w:rPr>
      <w:b/>
      <w:bCs/>
    </w:rPr>
  </w:style>
  <w:style w:type="paragraph" w:styleId="a4">
    <w:name w:val="Normal (Web)"/>
    <w:basedOn w:val="a"/>
    <w:uiPriority w:val="99"/>
    <w:semiHidden/>
    <w:unhideWhenUsed/>
    <w:rsid w:val="003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">
    <w:name w:val="ps"/>
    <w:basedOn w:val="a0"/>
    <w:rsid w:val="0034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7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2018-03-21T16:12:00Z</dcterms:created>
  <dcterms:modified xsi:type="dcterms:W3CDTF">2018-03-21T16:13:00Z</dcterms:modified>
</cp:coreProperties>
</file>