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E1" w:rsidRPr="007422E1" w:rsidRDefault="007422E1" w:rsidP="007422E1">
      <w:pPr>
        <w:shd w:val="clear" w:color="auto" w:fill="FDFDEF"/>
        <w:spacing w:before="136" w:after="177" w:line="240" w:lineRule="auto"/>
        <w:ind w:left="272" w:right="272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</w:rPr>
      </w:pPr>
      <w:r w:rsidRPr="007422E1"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</w:rPr>
        <w:t>Письмо Минфина РФ от 12 июля 2016 г. N 03-04-05/40681</w:t>
      </w:r>
    </w:p>
    <w:p w:rsidR="007422E1" w:rsidRPr="007422E1" w:rsidRDefault="007422E1" w:rsidP="007422E1">
      <w:pPr>
        <w:shd w:val="clear" w:color="auto" w:fill="FDFDE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422E1">
        <w:rPr>
          <w:rFonts w:ascii="Tahoma" w:eastAsia="Times New Roman" w:hAnsi="Tahoma" w:cs="Tahoma"/>
          <w:b/>
          <w:bCs/>
          <w:color w:val="333333"/>
          <w:sz w:val="18"/>
        </w:rPr>
        <w:t>Вопрос: О получении пенсионером образовавшегося в 2014 г. остатка имущественного вычета по НДФЛ, если за его переносом он обратился в 2016 г.</w:t>
      </w:r>
    </w:p>
    <w:p w:rsidR="007422E1" w:rsidRPr="007422E1" w:rsidRDefault="007422E1" w:rsidP="007422E1">
      <w:pPr>
        <w:spacing w:after="0" w:line="231" w:lineRule="atLeast"/>
        <w:ind w:left="544" w:right="272"/>
        <w:rPr>
          <w:rFonts w:ascii="Arial" w:eastAsia="Times New Roman" w:hAnsi="Arial" w:cs="Arial"/>
          <w:color w:val="333333"/>
          <w:sz w:val="20"/>
          <w:szCs w:val="20"/>
        </w:rPr>
      </w:pPr>
      <w:r w:rsidRPr="007422E1">
        <w:rPr>
          <w:rFonts w:ascii="Tahoma" w:eastAsia="Times New Roman" w:hAnsi="Tahoma" w:cs="Tahoma"/>
          <w:b/>
          <w:bCs/>
          <w:color w:val="333333"/>
          <w:sz w:val="19"/>
        </w:rPr>
        <w:t> </w:t>
      </w:r>
      <w:r w:rsidRPr="007422E1">
        <w:rPr>
          <w:rFonts w:ascii="Arial" w:eastAsia="Times New Roman" w:hAnsi="Arial" w:cs="Arial"/>
          <w:color w:val="666666"/>
          <w:sz w:val="19"/>
        </w:rPr>
        <w:t>25.07.2016 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Ответ: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МИНИСТЕРСТВО ФИНАНСОВ РОССИЙСКОЙ ФЕДЕРАЦИИ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ПИСЬМО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от 12 июля 2016 г. N 03-04-05/40681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Департамент налоговой и таможенной политики рассмотрел обращение по вопросу получения имущественного налогового вычета по налогу на доходы физических лиц и в соответствии со статьей 34.2 Налогового кодекса Российской Федерации (далее - Кодекс) разъясняет следующее.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Из обращения следует, что в 2014 году налогоплательщиком была приобретена квартира. С февраля 2016 года налогоплательщик является пенсионером. В 2015 году налогоплательщиком была представлена декларация за 2014 год, по которой образовался переносимый остаток имущественного налогового вычета.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7422E1">
        <w:rPr>
          <w:rFonts w:ascii="Arial" w:eastAsia="Times New Roman" w:hAnsi="Arial" w:cs="Arial"/>
          <w:color w:val="333333"/>
          <w:sz w:val="26"/>
          <w:szCs w:val="26"/>
        </w:rPr>
        <w:t xml:space="preserve">В соответствии с подпунктом 3 пункта 1 статьи 220 Кодекса (здесь и далее в редакции, действующей в отношении правоотношений, возникших до 1 января 2016 года) при определении размера налоговой базы налогоплательщик имеет право на получение имущественного налогового вычета в размере фактически произведенных налогоплательщиком расходов, но не более 2 000 </w:t>
      </w:r>
      <w:proofErr w:type="spellStart"/>
      <w:r w:rsidRPr="007422E1">
        <w:rPr>
          <w:rFonts w:ascii="Arial" w:eastAsia="Times New Roman" w:hAnsi="Arial" w:cs="Arial"/>
          <w:color w:val="333333"/>
          <w:sz w:val="26"/>
          <w:szCs w:val="26"/>
        </w:rPr>
        <w:t>000</w:t>
      </w:r>
      <w:proofErr w:type="spellEnd"/>
      <w:r w:rsidRPr="007422E1">
        <w:rPr>
          <w:rFonts w:ascii="Arial" w:eastAsia="Times New Roman" w:hAnsi="Arial" w:cs="Arial"/>
          <w:color w:val="333333"/>
          <w:sz w:val="26"/>
          <w:szCs w:val="26"/>
        </w:rPr>
        <w:t xml:space="preserve"> рублей, в частности, на новое строительство либо приобретение на территории</w:t>
      </w:r>
      <w:proofErr w:type="gramEnd"/>
      <w:r w:rsidRPr="007422E1">
        <w:rPr>
          <w:rFonts w:ascii="Arial" w:eastAsia="Times New Roman" w:hAnsi="Arial" w:cs="Arial"/>
          <w:color w:val="333333"/>
          <w:sz w:val="26"/>
          <w:szCs w:val="26"/>
        </w:rPr>
        <w:t xml:space="preserve"> Российской Федерации квартиры, комнаты или доли (долей) в них.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Согласно пункту 10 статьи 220 Кодекса у налогоплательщиков, получающих пенсии в соответствии с законодательством Российской Федерации, имущественные налоговые вычеты могут быть перенесены на предшествующие налоговые периоды, но не более трех, непосредственно предшествующих налоговому периоду, в котором образовался переносимый остаток имущественного налогового вычета.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7422E1">
        <w:rPr>
          <w:rFonts w:ascii="Arial" w:eastAsia="Times New Roman" w:hAnsi="Arial" w:cs="Arial"/>
          <w:color w:val="333333"/>
          <w:sz w:val="26"/>
          <w:szCs w:val="26"/>
        </w:rPr>
        <w:t>При этом, учитывая положения статьи 78 Кодекса, если за переносом остатка имущественного налогового вычета на предшествующие налоговые периоды налогоплательщик обращается не в налоговом периоде, непосредственно следующем за налоговым периодом, в котором образовался остаток имущественного налогового вычета, а в последующие налоговые периоды, количество налоговых периодов, на которые может быть перенесен вышеуказанный остаток, соответственно уменьшается.</w:t>
      </w:r>
      <w:proofErr w:type="gramEnd"/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7422E1">
        <w:rPr>
          <w:rFonts w:ascii="Arial" w:eastAsia="Times New Roman" w:hAnsi="Arial" w:cs="Arial"/>
          <w:color w:val="333333"/>
          <w:sz w:val="26"/>
          <w:szCs w:val="26"/>
        </w:rPr>
        <w:t>Исходя из изложенного налогоплательщик вправе перенести</w:t>
      </w:r>
      <w:proofErr w:type="gramEnd"/>
      <w:r w:rsidRPr="007422E1">
        <w:rPr>
          <w:rFonts w:ascii="Arial" w:eastAsia="Times New Roman" w:hAnsi="Arial" w:cs="Arial"/>
          <w:color w:val="333333"/>
          <w:sz w:val="26"/>
          <w:szCs w:val="26"/>
        </w:rPr>
        <w:t xml:space="preserve"> остаток имущественного налогового вычета на налоговые периоды 2013 и 2012 годов путем представления в 2016 году налоговых деклараций за соответствующие налоговые периоды.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Заместитель директора Департамента</w:t>
      </w:r>
    </w:p>
    <w:p w:rsidR="007422E1" w:rsidRPr="007422E1" w:rsidRDefault="007422E1" w:rsidP="007422E1">
      <w:pPr>
        <w:shd w:val="clear" w:color="auto" w:fill="FDFDEF"/>
        <w:spacing w:before="109" w:after="109" w:line="231" w:lineRule="atLeast"/>
        <w:ind w:left="272" w:right="272"/>
        <w:rPr>
          <w:rFonts w:ascii="Arial" w:eastAsia="Times New Roman" w:hAnsi="Arial" w:cs="Arial"/>
          <w:color w:val="333333"/>
          <w:sz w:val="26"/>
          <w:szCs w:val="26"/>
        </w:rPr>
      </w:pPr>
      <w:r w:rsidRPr="007422E1">
        <w:rPr>
          <w:rFonts w:ascii="Arial" w:eastAsia="Times New Roman" w:hAnsi="Arial" w:cs="Arial"/>
          <w:color w:val="333333"/>
          <w:sz w:val="26"/>
          <w:szCs w:val="26"/>
        </w:rPr>
        <w:t>Р.А.СААКЯН</w:t>
      </w:r>
    </w:p>
    <w:p w:rsidR="002C205E" w:rsidRDefault="002C205E" w:rsidP="007422E1"/>
    <w:sectPr w:rsidR="002C205E" w:rsidSect="007422E1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22E1"/>
    <w:rsid w:val="002C205E"/>
    <w:rsid w:val="0074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422E1"/>
    <w:rPr>
      <w:b/>
      <w:bCs/>
    </w:rPr>
  </w:style>
  <w:style w:type="paragraph" w:styleId="a4">
    <w:name w:val="Normal (Web)"/>
    <w:basedOn w:val="a"/>
    <w:uiPriority w:val="99"/>
    <w:semiHidden/>
    <w:unhideWhenUsed/>
    <w:rsid w:val="0074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">
    <w:name w:val="ps"/>
    <w:basedOn w:val="a0"/>
    <w:rsid w:val="00742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9708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2018-03-24T16:47:00Z</dcterms:created>
  <dcterms:modified xsi:type="dcterms:W3CDTF">2018-03-24T16:48:00Z</dcterms:modified>
</cp:coreProperties>
</file>